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A0" w:rsidRPr="00740C88" w:rsidRDefault="00E521A0" w:rsidP="00E521A0">
      <w:pPr>
        <w:spacing w:before="120" w:after="120"/>
        <w:ind w:left="-108"/>
        <w:jc w:val="center"/>
        <w:rPr>
          <w:rFonts w:ascii="Times New Roman" w:hAnsi="Times New Roman"/>
          <w:b/>
          <w:bCs/>
          <w:color w:val="4B376B" w:themeColor="accent5" w:themeShade="80"/>
          <w:spacing w:val="-12"/>
          <w:kern w:val="26"/>
          <w:sz w:val="24"/>
          <w:szCs w:val="24"/>
        </w:rPr>
      </w:pPr>
      <w:r w:rsidRPr="00740C88">
        <w:rPr>
          <w:rFonts w:ascii="Times New Roman" w:hAnsi="Times New Roman"/>
          <w:b/>
          <w:bCs/>
          <w:color w:val="4B376B" w:themeColor="accent5" w:themeShade="80"/>
          <w:spacing w:val="-12"/>
          <w:kern w:val="26"/>
          <w:sz w:val="24"/>
          <w:szCs w:val="24"/>
        </w:rPr>
        <w:t>ПРОГРАММА ПОВЫШЕНИЯ КВАЛИФИКАЦИИ ПО КУРСУ:</w:t>
      </w:r>
    </w:p>
    <w:p w:rsidR="00E521A0" w:rsidRDefault="00E521A0" w:rsidP="00E521A0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jc w:val="center"/>
        <w:rPr>
          <w:b/>
          <w:color w:val="4B376B" w:themeColor="accent5" w:themeShade="80"/>
          <w:kern w:val="24"/>
          <w:sz w:val="28"/>
          <w:szCs w:val="28"/>
        </w:rPr>
      </w:pPr>
      <w:r w:rsidRPr="00E521A0">
        <w:rPr>
          <w:b/>
          <w:color w:val="4B376B" w:themeColor="accent5" w:themeShade="80"/>
          <w:kern w:val="24"/>
          <w:sz w:val="28"/>
          <w:szCs w:val="28"/>
        </w:rPr>
        <w:t>«Противодействие коррупции: правовые основы. Антикоррупционные мероприятия»</w:t>
      </w:r>
    </w:p>
    <w:p w:rsidR="00067AAF" w:rsidRDefault="00067AAF" w:rsidP="00E521A0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jc w:val="center"/>
        <w:rPr>
          <w:b/>
          <w:color w:val="4B376B" w:themeColor="accent5" w:themeShade="80"/>
          <w:kern w:val="24"/>
          <w:sz w:val="28"/>
          <w:szCs w:val="28"/>
        </w:rPr>
      </w:pPr>
    </w:p>
    <w:p w:rsidR="00067AAF" w:rsidRPr="00325945" w:rsidRDefault="00067AAF" w:rsidP="00067AAF">
      <w:pPr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325945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Занятия проводятся в г. Петропавловске-Камчатском  </w:t>
      </w:r>
    </w:p>
    <w:p w:rsidR="00067AAF" w:rsidRPr="00325945" w:rsidRDefault="00067AAF" w:rsidP="00325945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jc w:val="center"/>
        <w:rPr>
          <w:b/>
          <w:kern w:val="24"/>
          <w:sz w:val="28"/>
          <w:szCs w:val="28"/>
          <w:u w:val="single"/>
        </w:rPr>
      </w:pPr>
      <w:r w:rsidRPr="00325945">
        <w:rPr>
          <w:b/>
          <w:kern w:val="24"/>
          <w:sz w:val="28"/>
          <w:szCs w:val="28"/>
          <w:u w:val="single"/>
        </w:rPr>
        <w:t>20 мая 2022</w:t>
      </w:r>
      <w:r w:rsidR="00325945" w:rsidRPr="00325945">
        <w:rPr>
          <w:b/>
          <w:kern w:val="24"/>
          <w:sz w:val="28"/>
          <w:szCs w:val="28"/>
          <w:u w:val="single"/>
        </w:rPr>
        <w:t xml:space="preserve"> </w:t>
      </w:r>
      <w:r w:rsidRPr="00325945">
        <w:rPr>
          <w:b/>
          <w:kern w:val="24"/>
          <w:sz w:val="28"/>
          <w:szCs w:val="28"/>
          <w:u w:val="single"/>
        </w:rPr>
        <w:t>г</w:t>
      </w:r>
    </w:p>
    <w:p w:rsidR="00067AAF" w:rsidRDefault="00067AAF" w:rsidP="00067AAF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jc w:val="center"/>
        <w:rPr>
          <w:b/>
          <w:color w:val="4B376B" w:themeColor="accent5" w:themeShade="80"/>
          <w:kern w:val="24"/>
          <w:sz w:val="28"/>
          <w:szCs w:val="28"/>
        </w:rPr>
      </w:pPr>
    </w:p>
    <w:p w:rsidR="00E521A0" w:rsidRPr="00E521A0" w:rsidRDefault="00E521A0" w:rsidP="00E521A0">
      <w:pPr>
        <w:tabs>
          <w:tab w:val="left" w:pos="10637"/>
        </w:tabs>
        <w:ind w:left="-108"/>
        <w:jc w:val="both"/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</w:pPr>
      <w:r w:rsidRPr="00E521A0">
        <w:rPr>
          <w:rFonts w:ascii="Times New Roman" w:hAnsi="Times New Roman"/>
          <w:b/>
          <w:color w:val="4B376B" w:themeColor="accent5" w:themeShade="80"/>
          <w:kern w:val="24"/>
          <w:sz w:val="26"/>
          <w:szCs w:val="26"/>
        </w:rPr>
        <w:t xml:space="preserve">Цель программы обучения: </w:t>
      </w:r>
      <w:r w:rsidRPr="00E521A0">
        <w:rPr>
          <w:rFonts w:ascii="Times New Roman" w:hAnsi="Times New Roman"/>
          <w:color w:val="4B376B" w:themeColor="accent5" w:themeShade="80"/>
          <w:kern w:val="24"/>
        </w:rPr>
        <w:t>ПОДГОТОВКА СЛУШАТЕЛЕЙ ДЛЯ ВЫПОЛНЕНИЯ ТРЕБОВАНИЙ ЗАКОНОДАТЕЛЬСТВА И НАЦИОНАЛЬНОГО ПЛАНА ПРОТИВОДЕЙСТВИЯ КОРРУПЦИИ.</w:t>
      </w:r>
      <w:r w:rsidRPr="00E521A0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 xml:space="preserve"> </w:t>
      </w:r>
    </w:p>
    <w:p w:rsidR="00E521A0" w:rsidRPr="00E521A0" w:rsidRDefault="00E521A0" w:rsidP="00E521A0">
      <w:pPr>
        <w:tabs>
          <w:tab w:val="left" w:pos="10637"/>
        </w:tabs>
        <w:ind w:left="-108"/>
        <w:jc w:val="both"/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</w:pPr>
      <w:r w:rsidRPr="00E521A0">
        <w:rPr>
          <w:rFonts w:ascii="Times New Roman" w:hAnsi="Times New Roman" w:cs="Times New Roman"/>
          <w:b/>
          <w:color w:val="4B376B" w:themeColor="accent5" w:themeShade="80"/>
          <w:kern w:val="24"/>
          <w:sz w:val="26"/>
          <w:szCs w:val="26"/>
        </w:rPr>
        <w:t>Программа ориентирована на:</w:t>
      </w:r>
      <w:r w:rsidRPr="00E521A0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 xml:space="preserve"> </w:t>
      </w: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руководителей организаций и структурных подразделений органов исполнительной власти, государственных и муниципальных служащих, бюджетных организаций всех уровней, государственных корпораций, специалистов организаций, ответственных за противодействие коррупции, специалистов антикоррупционной сферы. Специалистов организаций ответственных за закупочную деятельность.</w:t>
      </w:r>
      <w:r w:rsidRPr="00E521A0"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  <w:t xml:space="preserve">     </w:t>
      </w:r>
    </w:p>
    <w:p w:rsidR="00E521A0" w:rsidRPr="00E521A0" w:rsidRDefault="00E521A0" w:rsidP="00E521A0">
      <w:pPr>
        <w:pStyle w:val="ConsPlusTitle"/>
        <w:ind w:left="-108"/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</w:pPr>
      <w:r w:rsidRPr="00E521A0">
        <w:rPr>
          <w:rFonts w:ascii="Times New Roman" w:eastAsiaTheme="minorHAnsi" w:hAnsi="Times New Roman" w:cs="Times New Roman"/>
          <w:color w:val="4B376B" w:themeColor="accent5" w:themeShade="80"/>
          <w:kern w:val="24"/>
          <w:szCs w:val="22"/>
          <w:lang w:eastAsia="en-US"/>
        </w:rPr>
        <w:t xml:space="preserve">              НАЦИОНАЛЬНЫЙ ПЛАН ПРОТИВОДЕЙСТВИЯ КОРРУПЦИИ НА 2021 - 2024 ГОДЫ:</w:t>
      </w:r>
      <w:r w:rsidRPr="00E521A0"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  <w:t xml:space="preserve"> </w:t>
      </w:r>
    </w:p>
    <w:p w:rsidR="00E521A0" w:rsidRPr="00E521A0" w:rsidRDefault="00E521A0" w:rsidP="00E521A0">
      <w:pPr>
        <w:pStyle w:val="ConsPlusTitle"/>
        <w:ind w:left="-108"/>
        <w:jc w:val="both"/>
        <w:rPr>
          <w:rFonts w:ascii="Times New Roman" w:eastAsiaTheme="minorHAnsi" w:hAnsi="Times New Roman" w:cstheme="minorBidi"/>
          <w:b w:val="0"/>
          <w:color w:val="4B376B" w:themeColor="accent5" w:themeShade="80"/>
          <w:kern w:val="24"/>
          <w:sz w:val="26"/>
          <w:szCs w:val="26"/>
          <w:lang w:eastAsia="en-US"/>
        </w:rPr>
      </w:pPr>
      <w:r w:rsidRPr="00E521A0">
        <w:rPr>
          <w:rFonts w:ascii="Times New Roman" w:eastAsiaTheme="minorHAnsi" w:hAnsi="Times New Roman" w:cstheme="minorBidi"/>
          <w:b w:val="0"/>
          <w:color w:val="4B376B" w:themeColor="accent5" w:themeShade="80"/>
          <w:kern w:val="24"/>
          <w:sz w:val="26"/>
          <w:szCs w:val="26"/>
          <w:lang w:eastAsia="en-US"/>
        </w:rPr>
        <w:t>16.08.2021 года Указом Президента Российской Федерации №478 утвержден Национальный план противодействия коррупции на 2021-2024 года, данный документ устанавливает целый комплекс мероприятий, начиная от формирования соответствующей локальной нормативно-правовой базы и заканчивая обеспечением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их обучению по дополнительным профессиональным программам в области противодействия коррупции. А также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их обучению по дополнительным профессиональным программам в области противодействия коррупции.</w:t>
      </w:r>
    </w:p>
    <w:p w:rsidR="00E521A0" w:rsidRPr="00E521A0" w:rsidRDefault="00E521A0" w:rsidP="00E521A0">
      <w:pPr>
        <w:pStyle w:val="ConsPlusTitle"/>
        <w:ind w:left="-108"/>
        <w:jc w:val="both"/>
        <w:rPr>
          <w:rFonts w:ascii="Times New Roman" w:eastAsiaTheme="minorHAnsi" w:hAnsi="Times New Roman" w:cstheme="minorBidi"/>
          <w:b w:val="0"/>
          <w:color w:val="4B376B" w:themeColor="accent5" w:themeShade="80"/>
          <w:kern w:val="24"/>
          <w:sz w:val="26"/>
          <w:szCs w:val="26"/>
          <w:lang w:eastAsia="en-US"/>
        </w:rPr>
      </w:pPr>
    </w:p>
    <w:p w:rsidR="00E521A0" w:rsidRPr="00E521A0" w:rsidRDefault="00E521A0" w:rsidP="00E521A0">
      <w:pPr>
        <w:pStyle w:val="afc"/>
        <w:spacing w:after="0" w:line="240" w:lineRule="auto"/>
        <w:ind w:left="-108"/>
        <w:jc w:val="both"/>
        <w:rPr>
          <w:rFonts w:ascii="Times New Roman" w:hAnsi="Times New Roman"/>
          <w:b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b/>
          <w:color w:val="4B376B" w:themeColor="accent5" w:themeShade="80"/>
          <w:kern w:val="24"/>
          <w:sz w:val="26"/>
          <w:szCs w:val="26"/>
        </w:rPr>
        <w:t>Российское законодательство требуют принятия в организациях мер по предупреждению и противодействию коррупции. Согласно статьи 13.3 Федерального закона от 25.12.2008 № 273-ФЗ «О противодействии коррупции» предусмотрены меры по предупреждению коррупции, включающие:</w:t>
      </w:r>
    </w:p>
    <w:p w:rsidR="00E521A0" w:rsidRPr="00E521A0" w:rsidRDefault="00E521A0" w:rsidP="00E521A0">
      <w:pPr>
        <w:pStyle w:val="afc"/>
        <w:suppressAutoHyphens/>
        <w:spacing w:after="0" w:line="240" w:lineRule="auto"/>
        <w:ind w:left="-108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1.</w:t>
      </w:r>
      <w:r w:rsidR="00325945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 xml:space="preserve"> </w:t>
      </w: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Организации обязаны разрабатывать и принимать меры по предупреждению коррупции.</w:t>
      </w:r>
    </w:p>
    <w:p w:rsidR="00E521A0" w:rsidRPr="00E521A0" w:rsidRDefault="00E521A0" w:rsidP="00E521A0">
      <w:pPr>
        <w:pStyle w:val="afc"/>
        <w:suppressAutoHyphens/>
        <w:spacing w:after="0" w:line="240" w:lineRule="auto"/>
        <w:ind w:left="-108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2. Меры по предупреждению коррупции, принимаемые в организации, могут включать:</w:t>
      </w:r>
    </w:p>
    <w:p w:rsidR="00E521A0" w:rsidRPr="00E521A0" w:rsidRDefault="00E521A0" w:rsidP="00E521A0">
      <w:pPr>
        <w:pStyle w:val="afc"/>
        <w:numPr>
          <w:ilvl w:val="0"/>
          <w:numId w:val="31"/>
        </w:numPr>
        <w:suppressAutoHyphens/>
        <w:spacing w:after="0" w:line="240" w:lineRule="auto"/>
        <w:ind w:left="142" w:hanging="284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E521A0" w:rsidRPr="00E521A0" w:rsidRDefault="00E521A0" w:rsidP="00E521A0">
      <w:pPr>
        <w:pStyle w:val="afc"/>
        <w:numPr>
          <w:ilvl w:val="0"/>
          <w:numId w:val="32"/>
        </w:numPr>
        <w:suppressAutoHyphens/>
        <w:spacing w:after="0" w:line="240" w:lineRule="auto"/>
        <w:ind w:left="142" w:hanging="284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сотрудничество организации с правоохранительными органами;</w:t>
      </w:r>
    </w:p>
    <w:p w:rsidR="00E521A0" w:rsidRPr="00E521A0" w:rsidRDefault="00E521A0" w:rsidP="00E521A0">
      <w:pPr>
        <w:pStyle w:val="afc"/>
        <w:numPr>
          <w:ilvl w:val="0"/>
          <w:numId w:val="33"/>
        </w:numPr>
        <w:suppressAutoHyphens/>
        <w:spacing w:after="0" w:line="240" w:lineRule="auto"/>
        <w:ind w:left="142" w:hanging="284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E521A0" w:rsidRPr="00E521A0" w:rsidRDefault="00E521A0" w:rsidP="00E521A0">
      <w:pPr>
        <w:pStyle w:val="afc"/>
        <w:numPr>
          <w:ilvl w:val="0"/>
          <w:numId w:val="34"/>
        </w:numPr>
        <w:suppressAutoHyphens/>
        <w:spacing w:after="0" w:line="240" w:lineRule="auto"/>
        <w:ind w:left="142" w:hanging="284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принятие кодекса этики и служебного поведения работников организации;</w:t>
      </w:r>
    </w:p>
    <w:p w:rsidR="00E521A0" w:rsidRPr="00E521A0" w:rsidRDefault="00E521A0" w:rsidP="00E521A0">
      <w:pPr>
        <w:pStyle w:val="afc"/>
        <w:numPr>
          <w:ilvl w:val="0"/>
          <w:numId w:val="35"/>
        </w:numPr>
        <w:suppressAutoHyphens/>
        <w:spacing w:after="0" w:line="240" w:lineRule="auto"/>
        <w:ind w:left="142" w:hanging="284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E521A0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предотвращение и урегулирование конфликта интересов;</w:t>
      </w:r>
    </w:p>
    <w:p w:rsidR="00E521A0" w:rsidRPr="00325945" w:rsidRDefault="00E521A0" w:rsidP="00E521A0">
      <w:pPr>
        <w:pStyle w:val="aff6"/>
        <w:numPr>
          <w:ilvl w:val="0"/>
          <w:numId w:val="36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color w:val="4B376B" w:themeColor="accent5" w:themeShade="80"/>
          <w:kern w:val="24"/>
          <w:sz w:val="26"/>
          <w:szCs w:val="26"/>
          <w:u w:val="single"/>
          <w:lang w:eastAsia="en-US"/>
        </w:rPr>
      </w:pPr>
      <w:r w:rsidRPr="00E521A0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lastRenderedPageBreak/>
        <w:t>недопущение составления неофициальной отчетности и использования поддельных документов.</w:t>
      </w:r>
    </w:p>
    <w:p w:rsidR="00325945" w:rsidRPr="00E521A0" w:rsidRDefault="00325945" w:rsidP="00325945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142"/>
        <w:rPr>
          <w:color w:val="4B376B" w:themeColor="accent5" w:themeShade="80"/>
          <w:kern w:val="24"/>
          <w:sz w:val="26"/>
          <w:szCs w:val="26"/>
          <w:u w:val="single"/>
          <w:lang w:eastAsia="en-US"/>
        </w:rPr>
      </w:pPr>
    </w:p>
    <w:p w:rsidR="00E521A0" w:rsidRDefault="00325945" w:rsidP="00325945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142"/>
        <w:jc w:val="center"/>
        <w:rPr>
          <w:b/>
          <w:color w:val="4B376B"/>
          <w:sz w:val="28"/>
          <w:szCs w:val="28"/>
          <w:u w:val="single"/>
        </w:rPr>
      </w:pPr>
      <w:r>
        <w:rPr>
          <w:b/>
          <w:color w:val="4B376B"/>
          <w:sz w:val="28"/>
          <w:szCs w:val="28"/>
          <w:u w:val="single"/>
        </w:rPr>
        <w:t>Программа обучения:</w:t>
      </w:r>
    </w:p>
    <w:p w:rsidR="00325945" w:rsidRPr="00067AAF" w:rsidRDefault="00325945" w:rsidP="00325945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142"/>
        <w:jc w:val="center"/>
        <w:rPr>
          <w:b/>
          <w:color w:val="4B376B" w:themeColor="accent5" w:themeShade="80"/>
          <w:kern w:val="24"/>
          <w:sz w:val="26"/>
          <w:szCs w:val="26"/>
          <w:u w:val="single"/>
          <w:lang w:eastAsia="en-US"/>
        </w:rPr>
      </w:pPr>
    </w:p>
    <w:p w:rsidR="00E521A0" w:rsidRPr="00325945" w:rsidRDefault="00E521A0" w:rsidP="00C717AC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rFonts w:asciiTheme="minorHAnsi" w:hAnsiTheme="minorHAnsi" w:cs="Helvetica"/>
          <w:color w:val="262626"/>
          <w:sz w:val="23"/>
          <w:szCs w:val="23"/>
        </w:rPr>
      </w:pPr>
      <w:r w:rsidRPr="00E521A0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 xml:space="preserve">1. </w:t>
      </w:r>
      <w:r w:rsidRPr="00A9390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Введение в антикоррупционное законодательство</w:t>
      </w:r>
    </w:p>
    <w:p w:rsidR="00E521A0" w:rsidRDefault="00F928B2" w:rsidP="00F928B2">
      <w:pPr>
        <w:pStyle w:val="aff6"/>
        <w:numPr>
          <w:ilvl w:val="0"/>
          <w:numId w:val="36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история антикоррупционного законодательства и до наших дней</w:t>
      </w:r>
      <w:r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;</w:t>
      </w:r>
    </w:p>
    <w:p w:rsidR="00E521A0" w:rsidRPr="00067AAF" w:rsidRDefault="00F928B2" w:rsidP="00067AAF">
      <w:pPr>
        <w:pStyle w:val="aff6"/>
        <w:numPr>
          <w:ilvl w:val="0"/>
          <w:numId w:val="36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НПА в сфере анти</w:t>
      </w:r>
      <w:r w:rsidR="00325945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коррупционного законодательства.</w:t>
      </w:r>
    </w:p>
    <w:p w:rsidR="00E521A0" w:rsidRDefault="00F928B2" w:rsidP="00C717AC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</w:pPr>
      <w:r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 xml:space="preserve">2. </w:t>
      </w:r>
      <w:r w:rsidRPr="00A9390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Указ Президента РФ от 16 августа 2021 г. № 478 «О Национальном плане противодействия коррупции на 2021-2024 годы»</w:t>
      </w:r>
    </w:p>
    <w:p w:rsidR="00F928B2" w:rsidRDefault="00F928B2" w:rsidP="00F928B2">
      <w:pPr>
        <w:pStyle w:val="aff6"/>
        <w:numPr>
          <w:ilvl w:val="0"/>
          <w:numId w:val="36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что выполнено в 2021 году;</w:t>
      </w:r>
    </w:p>
    <w:p w:rsidR="00F928B2" w:rsidRPr="00F928B2" w:rsidRDefault="00F928B2" w:rsidP="00F928B2">
      <w:pPr>
        <w:pStyle w:val="aff6"/>
        <w:numPr>
          <w:ilvl w:val="0"/>
          <w:numId w:val="36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планы на 2022 год.</w:t>
      </w:r>
    </w:p>
    <w:p w:rsidR="00E521A0" w:rsidRDefault="00F928B2" w:rsidP="00C717AC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</w:pPr>
      <w:r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 xml:space="preserve">3. </w:t>
      </w:r>
      <w:r w:rsidRPr="00A9390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Формирование антикоррупционной политики в органах государственной власти и органах местного самоуправления</w:t>
      </w:r>
      <w:r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:</w:t>
      </w:r>
    </w:p>
    <w:p w:rsidR="00F928B2" w:rsidRPr="00F928B2" w:rsidRDefault="00F928B2" w:rsidP="00F928B2">
      <w:pPr>
        <w:pStyle w:val="aff6"/>
        <w:numPr>
          <w:ilvl w:val="0"/>
          <w:numId w:val="36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b/>
          <w:color w:val="000000" w:themeColor="text1"/>
          <w:kern w:val="24"/>
          <w:sz w:val="26"/>
          <w:szCs w:val="26"/>
          <w:u w:val="single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Создание комиссии по противодействию коррупции и урегулированию конфликта интересов;​​​​​​​</w:t>
      </w:r>
    </w:p>
    <w:p w:rsidR="00F928B2" w:rsidRPr="00F928B2" w:rsidRDefault="00F928B2" w:rsidP="00F928B2">
      <w:pPr>
        <w:pStyle w:val="aff6"/>
        <w:numPr>
          <w:ilvl w:val="0"/>
          <w:numId w:val="40"/>
        </w:numPr>
        <w:tabs>
          <w:tab w:val="left" w:pos="142"/>
          <w:tab w:val="left" w:pos="993"/>
        </w:tabs>
        <w:suppressAutoHyphens/>
        <w:spacing w:after="0" w:line="276" w:lineRule="auto"/>
        <w:ind w:left="-142" w:firstLine="0"/>
        <w:rPr>
          <w:b/>
          <w:color w:val="000000" w:themeColor="text1"/>
          <w:kern w:val="24"/>
          <w:sz w:val="26"/>
          <w:szCs w:val="26"/>
          <w:u w:val="single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Организация обучения и информирования работников;</w:t>
      </w:r>
    </w:p>
    <w:p w:rsidR="00F928B2" w:rsidRPr="00F928B2" w:rsidRDefault="00F928B2" w:rsidP="00F928B2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b/>
          <w:color w:val="000000" w:themeColor="text1"/>
          <w:kern w:val="24"/>
          <w:sz w:val="26"/>
          <w:szCs w:val="26"/>
          <w:u w:val="single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Документы</w:t>
      </w:r>
      <w:r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,</w:t>
      </w: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 xml:space="preserve"> формирующие антикоррупционную политику</w:t>
      </w:r>
      <w:r w:rsidRPr="00F928B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:</w:t>
      </w:r>
      <w:r w:rsidRPr="00F928B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br/>
      </w: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создание кодекса этики служебного поведения, положения о конфликте интересов, политике сообщений о нарушениях, положения о подарках и знаках делового гостеприимства и иных локальных актов, регламентирующих антикоррупционную политику.</w:t>
      </w:r>
    </w:p>
    <w:p w:rsidR="00F928B2" w:rsidRDefault="00F928B2" w:rsidP="00F928B2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</w:pPr>
      <w:r w:rsidRPr="00325945">
        <w:rPr>
          <w:b/>
          <w:color w:val="4B376B" w:themeColor="accent5" w:themeShade="80"/>
          <w:sz w:val="26"/>
          <w:szCs w:val="26"/>
        </w:rPr>
        <w:t>4</w:t>
      </w:r>
      <w:r w:rsidRPr="00325945">
        <w:rPr>
          <w:rFonts w:ascii="Helvetica" w:hAnsi="Helvetica" w:cs="Helvetica"/>
          <w:b/>
          <w:color w:val="4B376B" w:themeColor="accent5" w:themeShade="80"/>
          <w:sz w:val="26"/>
          <w:szCs w:val="26"/>
        </w:rPr>
        <w:t>.</w:t>
      </w:r>
      <w:r w:rsidRPr="00F928B2">
        <w:rPr>
          <w:rFonts w:ascii="Helvetica" w:hAnsi="Helvetica" w:cs="Helvetica"/>
          <w:color w:val="4B376B" w:themeColor="accent5" w:themeShade="80"/>
          <w:sz w:val="23"/>
          <w:szCs w:val="23"/>
        </w:rPr>
        <w:t xml:space="preserve"> </w:t>
      </w:r>
      <w:r w:rsidRPr="00A9390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Противодействи</w:t>
      </w:r>
      <w:r w:rsidRPr="00F928B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е коррупции в сфере закупок:</w:t>
      </w:r>
    </w:p>
    <w:p w:rsidR="00F928B2" w:rsidRDefault="00F928B2" w:rsidP="00740C88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 xml:space="preserve">анализ </w:t>
      </w:r>
      <w:r w:rsidRPr="00740C88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коррупционных рисков в 44-ФЗ;</w:t>
      </w:r>
    </w:p>
    <w:p w:rsidR="00740C88" w:rsidRDefault="00740C88" w:rsidP="00740C88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анализ коррупци</w:t>
      </w:r>
      <w:r w:rsidRPr="00740C88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онных рисков в 223-ФЗ;​​​​​​​</w:t>
      </w:r>
    </w:p>
    <w:p w:rsidR="00740C88" w:rsidRPr="00740C88" w:rsidRDefault="00740C88" w:rsidP="00740C88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методические рекомендации по выявлению и минимизации коррупционных рисков при осуществлении закупок товаров, работ, услуг.</w:t>
      </w:r>
    </w:p>
    <w:p w:rsidR="00E521A0" w:rsidRDefault="00740C88" w:rsidP="00C717AC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b/>
          <w:color w:val="000000" w:themeColor="text1"/>
          <w:kern w:val="24"/>
          <w:sz w:val="26"/>
          <w:szCs w:val="26"/>
          <w:u w:val="single"/>
          <w:lang w:eastAsia="en-US"/>
        </w:rPr>
      </w:pPr>
      <w:r w:rsidRPr="00325945">
        <w:rPr>
          <w:b/>
          <w:color w:val="4B376B" w:themeColor="accent5" w:themeShade="80"/>
          <w:sz w:val="26"/>
          <w:szCs w:val="26"/>
        </w:rPr>
        <w:t>5.</w:t>
      </w:r>
      <w:r w:rsidRPr="00F928B2">
        <w:rPr>
          <w:rFonts w:ascii="Helvetica" w:hAnsi="Helvetica" w:cs="Helvetica"/>
          <w:color w:val="4B376B" w:themeColor="accent5" w:themeShade="80"/>
          <w:sz w:val="23"/>
          <w:szCs w:val="23"/>
        </w:rPr>
        <w:t xml:space="preserve"> </w:t>
      </w:r>
      <w:r w:rsidRPr="00A9390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Контроль в рамках антикор</w:t>
      </w:r>
      <w:r w:rsidRPr="00740C88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рупционного законодательства</w:t>
      </w:r>
      <w:r w:rsidRPr="00F928B2"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:</w:t>
      </w:r>
    </w:p>
    <w:p w:rsidR="00740C88" w:rsidRDefault="00740C88" w:rsidP="00740C88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A93902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контрол</w:t>
      </w:r>
      <w:r w:rsidRPr="00740C88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ьные органы и их мероприятия;</w:t>
      </w:r>
    </w:p>
    <w:p w:rsidR="00740C88" w:rsidRDefault="00740C88" w:rsidP="00740C88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740C88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общественный контроль;</w:t>
      </w:r>
    </w:p>
    <w:p w:rsidR="00740C88" w:rsidRDefault="00740C88" w:rsidP="00740C88">
      <w:pPr>
        <w:pStyle w:val="aff6"/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76" w:lineRule="auto"/>
        <w:ind w:left="142" w:hanging="284"/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</w:pPr>
      <w:r w:rsidRPr="00740C88">
        <w:rPr>
          <w:rFonts w:eastAsiaTheme="minorHAnsi" w:cstheme="minorBidi"/>
          <w:color w:val="4B376B" w:themeColor="accent5" w:themeShade="80"/>
          <w:kern w:val="24"/>
          <w:sz w:val="26"/>
          <w:szCs w:val="26"/>
          <w:lang w:eastAsia="en-US"/>
        </w:rPr>
        <w:t>ответственность.</w:t>
      </w:r>
    </w:p>
    <w:p w:rsidR="00E521A0" w:rsidRPr="00740C88" w:rsidRDefault="00740C88" w:rsidP="00067AAF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rPr>
          <w:b/>
          <w:color w:val="4B376B" w:themeColor="accent5" w:themeShade="80"/>
          <w:kern w:val="24"/>
          <w:sz w:val="26"/>
          <w:szCs w:val="26"/>
          <w:u w:val="single"/>
          <w:lang w:eastAsia="en-US"/>
        </w:rPr>
      </w:pPr>
      <w:r w:rsidRPr="00740C88">
        <w:rPr>
          <w:b/>
          <w:color w:val="4B376B" w:themeColor="accent5" w:themeShade="80"/>
          <w:kern w:val="24"/>
          <w:sz w:val="26"/>
          <w:szCs w:val="26"/>
          <w:u w:val="single"/>
          <w:lang w:eastAsia="en-US"/>
        </w:rPr>
        <w:t>_____________________________________________</w:t>
      </w:r>
      <w:r w:rsidR="00067AAF">
        <w:rPr>
          <w:b/>
          <w:color w:val="4B376B" w:themeColor="accent5" w:themeShade="80"/>
          <w:kern w:val="24"/>
          <w:sz w:val="26"/>
          <w:szCs w:val="26"/>
          <w:u w:val="single"/>
          <w:lang w:eastAsia="en-US"/>
        </w:rPr>
        <w:t>_______________________________</w:t>
      </w:r>
    </w:p>
    <w:p w:rsidR="00740C88" w:rsidRDefault="00740C88" w:rsidP="00C717AC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</w:pPr>
      <w:r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  <w:t>Длительность обучения: 72 часа.</w:t>
      </w:r>
    </w:p>
    <w:p w:rsidR="00E521A0" w:rsidRPr="00740C88" w:rsidRDefault="00E521A0" w:rsidP="00067AAF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rPr>
          <w:rFonts w:eastAsiaTheme="minorHAnsi" w:cstheme="minorBidi"/>
          <w:b/>
          <w:color w:val="4B376B" w:themeColor="accent5" w:themeShade="80"/>
          <w:kern w:val="24"/>
          <w:sz w:val="26"/>
          <w:szCs w:val="26"/>
          <w:lang w:eastAsia="en-US"/>
        </w:rPr>
      </w:pPr>
    </w:p>
    <w:p w:rsidR="00C717AC" w:rsidRPr="00740C88" w:rsidRDefault="00C717AC" w:rsidP="00C717AC">
      <w:pPr>
        <w:pStyle w:val="aff6"/>
        <w:tabs>
          <w:tab w:val="left" w:pos="709"/>
          <w:tab w:val="left" w:pos="993"/>
        </w:tabs>
        <w:suppressAutoHyphens/>
        <w:spacing w:after="0" w:line="276" w:lineRule="auto"/>
        <w:ind w:left="-284"/>
        <w:rPr>
          <w:b/>
          <w:color w:val="4B376B" w:themeColor="accent5" w:themeShade="80"/>
          <w:kern w:val="24"/>
          <w:sz w:val="26"/>
          <w:szCs w:val="26"/>
          <w:lang w:eastAsia="en-US"/>
        </w:rPr>
      </w:pPr>
      <w:r w:rsidRPr="00740C88">
        <w:rPr>
          <w:b/>
          <w:color w:val="4B376B" w:themeColor="accent5" w:themeShade="80"/>
          <w:kern w:val="24"/>
          <w:sz w:val="26"/>
          <w:szCs w:val="26"/>
          <w:u w:val="single"/>
          <w:lang w:eastAsia="en-US"/>
        </w:rPr>
        <w:t>По окончанию курса выдается</w:t>
      </w:r>
      <w:r w:rsidRPr="00740C88">
        <w:rPr>
          <w:b/>
          <w:color w:val="4B376B" w:themeColor="accent5" w:themeShade="80"/>
          <w:kern w:val="24"/>
          <w:sz w:val="26"/>
          <w:szCs w:val="26"/>
          <w:lang w:eastAsia="en-US"/>
        </w:rPr>
        <w:t>:</w:t>
      </w:r>
    </w:p>
    <w:p w:rsidR="00C717AC" w:rsidRPr="00740C88" w:rsidRDefault="00740C88" w:rsidP="00C717AC">
      <w:pPr>
        <w:ind w:left="-284"/>
        <w:jc w:val="both"/>
        <w:rPr>
          <w:rFonts w:ascii="Times New Roman" w:eastAsia="Times New Roman" w:hAnsi="Times New Roman" w:cs="Times New Roman"/>
          <w:b/>
          <w:color w:val="4B376B" w:themeColor="accent5" w:themeShade="8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 w:themeColor="accent5" w:themeShade="80"/>
          <w:kern w:val="24"/>
          <w:sz w:val="26"/>
          <w:szCs w:val="26"/>
        </w:rPr>
        <w:t>Удостоверение о повышении квалификации</w:t>
      </w:r>
      <w:r w:rsidR="00325945">
        <w:rPr>
          <w:rFonts w:ascii="Times New Roman" w:eastAsia="Times New Roman" w:hAnsi="Times New Roman" w:cs="Times New Roman"/>
          <w:b/>
          <w:color w:val="4B376B" w:themeColor="accent5" w:themeShade="80"/>
          <w:kern w:val="24"/>
          <w:sz w:val="26"/>
          <w:szCs w:val="26"/>
        </w:rPr>
        <w:t xml:space="preserve"> установленного образца</w:t>
      </w:r>
    </w:p>
    <w:p w:rsidR="00E827C5" w:rsidRPr="00740C88" w:rsidRDefault="00C717AC" w:rsidP="00740C88">
      <w:pPr>
        <w:spacing w:after="0"/>
        <w:ind w:left="-284"/>
        <w:jc w:val="both"/>
        <w:rPr>
          <w:rFonts w:ascii="Times New Roman" w:hAnsi="Times New Roman" w:cs="Times New Roman"/>
          <w:iCs/>
          <w:color w:val="4B376B" w:themeColor="accent5" w:themeShade="80"/>
        </w:rPr>
      </w:pPr>
      <w:bookmarkStart w:id="0" w:name="_GoBack"/>
      <w:bookmarkEnd w:id="0"/>
      <w:r w:rsidRPr="00740C88">
        <w:rPr>
          <w:rFonts w:ascii="Times New Roman" w:hAnsi="Times New Roman" w:cs="Times New Roman"/>
          <w:iCs/>
          <w:color w:val="4B376B" w:themeColor="accent5" w:themeShade="80"/>
        </w:rPr>
        <w:t>В соответствии с требованиями Постановления Правительства Российской Федерации от 26.08.2013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 (ФИС ФРДО) и письма Федеральной службы по надзору в сфере образования и науки (</w:t>
      </w:r>
      <w:proofErr w:type="spellStart"/>
      <w:r w:rsidRPr="00740C88">
        <w:rPr>
          <w:rFonts w:ascii="Times New Roman" w:hAnsi="Times New Roman" w:cs="Times New Roman"/>
          <w:iCs/>
          <w:color w:val="4B376B" w:themeColor="accent5" w:themeShade="80"/>
        </w:rPr>
        <w:t>Рособрнадзор</w:t>
      </w:r>
      <w:proofErr w:type="spellEnd"/>
      <w:r w:rsidRPr="00740C88">
        <w:rPr>
          <w:rFonts w:ascii="Times New Roman" w:hAnsi="Times New Roman" w:cs="Times New Roman"/>
          <w:iCs/>
          <w:color w:val="4B376B" w:themeColor="accent5" w:themeShade="80"/>
        </w:rPr>
        <w:t xml:space="preserve">) № 05-330 от 05.09.2018 г., образовательным организациям дополнительного профессионального образования необходимо вносить данные в ФИС ФРДО по выданным документам об образовании. </w:t>
      </w:r>
    </w:p>
    <w:sectPr w:rsidR="00E827C5" w:rsidRPr="00740C88" w:rsidSect="00A4433A">
      <w:headerReference w:type="default" r:id="rId11"/>
      <w:footerReference w:type="default" r:id="rId12"/>
      <w:pgSz w:w="11906" w:h="16838" w:code="9"/>
      <w:pgMar w:top="709" w:right="864" w:bottom="1135" w:left="1134" w:header="426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8B" w:rsidRDefault="00AA778B" w:rsidP="00D301A8">
      <w:pPr>
        <w:spacing w:line="240" w:lineRule="auto"/>
      </w:pPr>
      <w:r>
        <w:separator/>
      </w:r>
    </w:p>
  </w:endnote>
  <w:endnote w:type="continuationSeparator" w:id="0">
    <w:p w:rsidR="00AA778B" w:rsidRDefault="00AA778B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Default="00AA778B">
    <w:pPr>
      <w:pStyle w:val="ac"/>
    </w:pPr>
    <w:r>
      <w:rPr>
        <w:noProof/>
        <w:lang w:bidi="ru-RU"/>
      </w:rPr>
      <w:pict>
        <v:shape id="Полилиния: Фигура 9" o:spid="_x0000_s2049" alt="&quot;&quot;" style="position:absolute;margin-left:-16.15pt;margin-top:682.75pt;width:627.85pt;height:167.6pt;rotation:180;z-index:-251655168;visibility:visible;mso-position-horizontal-relative:page;mso-position-vertical-relative:page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" adj="-11796480,,5400" path="m,l7738110,r,1896461l,2906395,,xe" fillcolor="#f5e4a9 [1302]" stroked="f" strokeweight="1pt">
          <v:fill color2="#9c85c0 [3208]" rotate="t" angle="58" focus="100%" type="gradient">
            <o:fill v:ext="view" type="gradientUnscaled"/>
          </v:fill>
          <v:stroke joinstyle="miter"/>
          <v:formulas/>
          <v:path arrowok="t" o:connecttype="custom" o:connectlocs="0,0;7973568,0;7973568,1388773;0,2128345;0,0" o:connectangles="0,0,0,0,0" textboxrect="0,0,7738110,2906395"/>
          <v:textbox>
            <w:txbxContent>
              <w:p w:rsidR="002978ED" w:rsidRDefault="002978ED" w:rsidP="002978ED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8B" w:rsidRDefault="00AA778B" w:rsidP="00D301A8">
      <w:pPr>
        <w:spacing w:line="240" w:lineRule="auto"/>
      </w:pPr>
      <w:r>
        <w:separator/>
      </w:r>
    </w:p>
  </w:footnote>
  <w:footnote w:type="continuationSeparator" w:id="0">
    <w:p w:rsidR="00AA778B" w:rsidRDefault="00AA778B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Pr="00B92A68" w:rsidRDefault="00642C3B" w:rsidP="001D1A2E">
    <w:pPr>
      <w:jc w:val="center"/>
      <w:rPr>
        <w:rFonts w:ascii="Times New Roman" w:hAnsi="Times New Roman" w:cs="Times New Roman"/>
        <w:b/>
        <w:bCs/>
        <w:color w:val="7C354D" w:themeColor="accent4" w:themeShade="80"/>
        <w:kern w:val="24"/>
        <w:sz w:val="36"/>
        <w:szCs w:val="36"/>
      </w:rPr>
    </w:pPr>
    <w:r w:rsidRPr="00B92A68">
      <w:rPr>
        <w:rFonts w:ascii="Times New Roman" w:hAnsi="Times New Roman" w:cs="Times New Roman"/>
        <w:b/>
        <w:bCs/>
        <w:color w:val="7C354D" w:themeColor="accent4" w:themeShade="80"/>
        <w:kern w:val="24"/>
        <w:sz w:val="36"/>
        <w:szCs w:val="36"/>
      </w:rPr>
      <w:t>ООО «Академия Профессионального Управления»</w:t>
    </w:r>
    <w:r w:rsidR="00AA778B">
      <w:rPr>
        <w:rFonts w:ascii="Times New Roman" w:hAnsi="Times New Roman" w:cs="Times New Roman"/>
        <w:noProof/>
        <w:color w:val="7C354D" w:themeColor="accent4" w:themeShade="80"/>
        <w:lang w:bidi="ru-RU"/>
      </w:rPr>
      <w:pict>
        <v:shape id="Полилиния: Фигура 7" o:spid="_x0000_s2050" alt="&quot;&quot;" style="position:absolute;left:0;text-align:left;margin-left:-1.25pt;margin-top:0;width:619.2pt;height:162.6pt;z-index:-251657216;visibility:visible;mso-position-horizontal-relative:page;mso-position-vertical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" adj="-11796480,,5400" path="m,l7738110,r,1896461l,2906395,,xe" fillcolor="#f5e4a9 [1302]" stroked="f" strokeweight="1pt">
          <v:fill color2="#9c85c0 [3208]" rotate="t" angle="58" focus="100%" type="gradient">
            <o:fill v:ext="view" type="gradientUnscaled"/>
          </v:fill>
          <v:stroke joinstyle="miter"/>
          <v:formulas/>
          <v:path arrowok="t" o:connecttype="custom" o:connectlocs="0,0;7863840,0;7863840,1347624;0,2065283;0,0" o:connectangles="0,0,0,0,0" textboxrect="0,0,7738110,2906395"/>
          <v:textbox>
            <w:txbxContent>
              <w:p w:rsidR="002978ED" w:rsidRDefault="002978ED" w:rsidP="002978E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207"/>
    <w:multiLevelType w:val="hybridMultilevel"/>
    <w:tmpl w:val="AB8CCA8A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06C26726"/>
    <w:multiLevelType w:val="hybridMultilevel"/>
    <w:tmpl w:val="CCD81BB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A2974DA"/>
    <w:multiLevelType w:val="hybridMultilevel"/>
    <w:tmpl w:val="1E02B6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D465C6B"/>
    <w:multiLevelType w:val="hybridMultilevel"/>
    <w:tmpl w:val="B0449406"/>
    <w:lvl w:ilvl="0" w:tplc="2432E9B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4B376B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0E21BF"/>
    <w:multiLevelType w:val="hybridMultilevel"/>
    <w:tmpl w:val="92040BA2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 w15:restartNumberingAfterBreak="0">
    <w:nsid w:val="16D64E66"/>
    <w:multiLevelType w:val="hybridMultilevel"/>
    <w:tmpl w:val="B0A05E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DF7AAB"/>
    <w:multiLevelType w:val="hybridMultilevel"/>
    <w:tmpl w:val="696A5E62"/>
    <w:lvl w:ilvl="0" w:tplc="105623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F03"/>
    <w:multiLevelType w:val="hybridMultilevel"/>
    <w:tmpl w:val="DFCC4DD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8" w15:restartNumberingAfterBreak="0">
    <w:nsid w:val="1CE66998"/>
    <w:multiLevelType w:val="hybridMultilevel"/>
    <w:tmpl w:val="735C147E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 w15:restartNumberingAfterBreak="0">
    <w:nsid w:val="20663339"/>
    <w:multiLevelType w:val="hybridMultilevel"/>
    <w:tmpl w:val="DB34F16A"/>
    <w:lvl w:ilvl="0" w:tplc="202826A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4B376B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3193168"/>
    <w:multiLevelType w:val="hybridMultilevel"/>
    <w:tmpl w:val="403C9BF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42F4C50"/>
    <w:multiLevelType w:val="hybridMultilevel"/>
    <w:tmpl w:val="B15451F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26165C91"/>
    <w:multiLevelType w:val="hybridMultilevel"/>
    <w:tmpl w:val="C1D6CB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A0C3AB7"/>
    <w:multiLevelType w:val="hybridMultilevel"/>
    <w:tmpl w:val="9A5C3E9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BB62AE8"/>
    <w:multiLevelType w:val="hybridMultilevel"/>
    <w:tmpl w:val="F51E0964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329D6D11"/>
    <w:multiLevelType w:val="hybridMultilevel"/>
    <w:tmpl w:val="0B8C4F10"/>
    <w:lvl w:ilvl="0" w:tplc="041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 w15:restartNumberingAfterBreak="0">
    <w:nsid w:val="39CF01F5"/>
    <w:multiLevelType w:val="hybridMultilevel"/>
    <w:tmpl w:val="727C9A94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 w15:restartNumberingAfterBreak="0">
    <w:nsid w:val="3E0E6F9E"/>
    <w:multiLevelType w:val="hybridMultilevel"/>
    <w:tmpl w:val="9496D6A8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8" w15:restartNumberingAfterBreak="0">
    <w:nsid w:val="3FFF54DD"/>
    <w:multiLevelType w:val="hybridMultilevel"/>
    <w:tmpl w:val="C352DD20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44344573"/>
    <w:multiLevelType w:val="hybridMultilevel"/>
    <w:tmpl w:val="37786782"/>
    <w:lvl w:ilvl="0" w:tplc="041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0" w15:restartNumberingAfterBreak="0">
    <w:nsid w:val="44860BA2"/>
    <w:multiLevelType w:val="hybridMultilevel"/>
    <w:tmpl w:val="047A27C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A7A7BA1"/>
    <w:multiLevelType w:val="hybridMultilevel"/>
    <w:tmpl w:val="4970DD90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2" w15:restartNumberingAfterBreak="0">
    <w:nsid w:val="4CC021A6"/>
    <w:multiLevelType w:val="hybridMultilevel"/>
    <w:tmpl w:val="37924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90741"/>
    <w:multiLevelType w:val="hybridMultilevel"/>
    <w:tmpl w:val="127EB4A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1FE4EAB"/>
    <w:multiLevelType w:val="hybridMultilevel"/>
    <w:tmpl w:val="62B08F6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538554DD"/>
    <w:multiLevelType w:val="hybridMultilevel"/>
    <w:tmpl w:val="B566B866"/>
    <w:lvl w:ilvl="0" w:tplc="C864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C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4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4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6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AC0ACB"/>
    <w:multiLevelType w:val="hybridMultilevel"/>
    <w:tmpl w:val="EAFC4FB2"/>
    <w:lvl w:ilvl="0" w:tplc="F618C188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  <w:color w:val="444D26" w:themeColor="text2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7" w15:restartNumberingAfterBreak="0">
    <w:nsid w:val="5C3F3318"/>
    <w:multiLevelType w:val="hybridMultilevel"/>
    <w:tmpl w:val="DA6E39FE"/>
    <w:lvl w:ilvl="0" w:tplc="041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 w15:restartNumberingAfterBreak="0">
    <w:nsid w:val="6331183A"/>
    <w:multiLevelType w:val="hybridMultilevel"/>
    <w:tmpl w:val="C6043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81B14"/>
    <w:multiLevelType w:val="hybridMultilevel"/>
    <w:tmpl w:val="26DE6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E4DB9"/>
    <w:multiLevelType w:val="hybridMultilevel"/>
    <w:tmpl w:val="D8F0F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7E5016A"/>
    <w:multiLevelType w:val="multilevel"/>
    <w:tmpl w:val="6E0E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575E32"/>
    <w:multiLevelType w:val="hybridMultilevel"/>
    <w:tmpl w:val="D8607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4CC4"/>
    <w:multiLevelType w:val="hybridMultilevel"/>
    <w:tmpl w:val="6122C8F2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B070177"/>
    <w:multiLevelType w:val="hybridMultilevel"/>
    <w:tmpl w:val="AD30AB9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0"/>
  </w:num>
  <w:num w:numId="5">
    <w:abstractNumId w:val="16"/>
  </w:num>
  <w:num w:numId="6">
    <w:abstractNumId w:val="7"/>
  </w:num>
  <w:num w:numId="7">
    <w:abstractNumId w:val="34"/>
  </w:num>
  <w:num w:numId="8">
    <w:abstractNumId w:val="32"/>
  </w:num>
  <w:num w:numId="9">
    <w:abstractNumId w:val="20"/>
  </w:num>
  <w:num w:numId="10">
    <w:abstractNumId w:val="29"/>
  </w:num>
  <w:num w:numId="11">
    <w:abstractNumId w:val="28"/>
  </w:num>
  <w:num w:numId="12">
    <w:abstractNumId w:val="6"/>
  </w:num>
  <w:num w:numId="13">
    <w:abstractNumId w:val="10"/>
  </w:num>
  <w:num w:numId="14">
    <w:abstractNumId w:val="31"/>
  </w:num>
  <w:num w:numId="15">
    <w:abstractNumId w:val="19"/>
  </w:num>
  <w:num w:numId="16">
    <w:abstractNumId w:val="15"/>
  </w:num>
  <w:num w:numId="17">
    <w:abstractNumId w:val="4"/>
  </w:num>
  <w:num w:numId="18">
    <w:abstractNumId w:val="21"/>
  </w:num>
  <w:num w:numId="19">
    <w:abstractNumId w:val="8"/>
  </w:num>
  <w:num w:numId="20">
    <w:abstractNumId w:val="17"/>
  </w:num>
  <w:num w:numId="21">
    <w:abstractNumId w:val="27"/>
  </w:num>
  <w:num w:numId="22">
    <w:abstractNumId w:val="33"/>
  </w:num>
  <w:num w:numId="23">
    <w:abstractNumId w:val="5"/>
  </w:num>
  <w:num w:numId="24">
    <w:abstractNumId w:val="18"/>
  </w:num>
  <w:num w:numId="25">
    <w:abstractNumId w:val="5"/>
  </w:num>
  <w:num w:numId="26">
    <w:abstractNumId w:val="18"/>
  </w:num>
  <w:num w:numId="27">
    <w:abstractNumId w:val="10"/>
  </w:num>
  <w:num w:numId="28">
    <w:abstractNumId w:val="26"/>
  </w:num>
  <w:num w:numId="29">
    <w:abstractNumId w:val="16"/>
  </w:num>
  <w:num w:numId="30">
    <w:abstractNumId w:val="22"/>
  </w:num>
  <w:num w:numId="31">
    <w:abstractNumId w:val="23"/>
  </w:num>
  <w:num w:numId="32">
    <w:abstractNumId w:val="11"/>
  </w:num>
  <w:num w:numId="33">
    <w:abstractNumId w:val="24"/>
  </w:num>
  <w:num w:numId="34">
    <w:abstractNumId w:val="13"/>
  </w:num>
  <w:num w:numId="35">
    <w:abstractNumId w:val="1"/>
  </w:num>
  <w:num w:numId="36">
    <w:abstractNumId w:val="9"/>
  </w:num>
  <w:num w:numId="37">
    <w:abstractNumId w:val="12"/>
  </w:num>
  <w:num w:numId="38">
    <w:abstractNumId w:val="2"/>
  </w:num>
  <w:num w:numId="39">
    <w:abstractNumId w:val="30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57"/>
    <w:rsid w:val="00000365"/>
    <w:rsid w:val="0002528D"/>
    <w:rsid w:val="000350AC"/>
    <w:rsid w:val="000533B6"/>
    <w:rsid w:val="00067AAF"/>
    <w:rsid w:val="00083FBB"/>
    <w:rsid w:val="000975FA"/>
    <w:rsid w:val="000A7CB3"/>
    <w:rsid w:val="000C3ADF"/>
    <w:rsid w:val="000D049F"/>
    <w:rsid w:val="000F0AB4"/>
    <w:rsid w:val="000F1998"/>
    <w:rsid w:val="0012054D"/>
    <w:rsid w:val="00130B49"/>
    <w:rsid w:val="00157F0C"/>
    <w:rsid w:val="00163DC5"/>
    <w:rsid w:val="00166688"/>
    <w:rsid w:val="001813DD"/>
    <w:rsid w:val="001D1A2E"/>
    <w:rsid w:val="001F2C8D"/>
    <w:rsid w:val="001F7D62"/>
    <w:rsid w:val="00255D4F"/>
    <w:rsid w:val="002978ED"/>
    <w:rsid w:val="002A3996"/>
    <w:rsid w:val="002F4F00"/>
    <w:rsid w:val="00303481"/>
    <w:rsid w:val="00321B18"/>
    <w:rsid w:val="00325945"/>
    <w:rsid w:val="00333046"/>
    <w:rsid w:val="00350833"/>
    <w:rsid w:val="003632B5"/>
    <w:rsid w:val="00370B0F"/>
    <w:rsid w:val="003954EF"/>
    <w:rsid w:val="003A6C6D"/>
    <w:rsid w:val="003C27B0"/>
    <w:rsid w:val="003F7C88"/>
    <w:rsid w:val="004059C8"/>
    <w:rsid w:val="004350CC"/>
    <w:rsid w:val="00441849"/>
    <w:rsid w:val="00443052"/>
    <w:rsid w:val="00447983"/>
    <w:rsid w:val="004614FF"/>
    <w:rsid w:val="00461A02"/>
    <w:rsid w:val="00463EE3"/>
    <w:rsid w:val="004665FE"/>
    <w:rsid w:val="00466785"/>
    <w:rsid w:val="004E4D8C"/>
    <w:rsid w:val="004E52AD"/>
    <w:rsid w:val="005023E7"/>
    <w:rsid w:val="00520BD9"/>
    <w:rsid w:val="005276ED"/>
    <w:rsid w:val="00530090"/>
    <w:rsid w:val="00555F5F"/>
    <w:rsid w:val="00573A13"/>
    <w:rsid w:val="005E4B85"/>
    <w:rsid w:val="005F7E25"/>
    <w:rsid w:val="0060150B"/>
    <w:rsid w:val="00602496"/>
    <w:rsid w:val="00611753"/>
    <w:rsid w:val="00612F6E"/>
    <w:rsid w:val="00642C3B"/>
    <w:rsid w:val="0065549D"/>
    <w:rsid w:val="00660CB2"/>
    <w:rsid w:val="00661981"/>
    <w:rsid w:val="006940D3"/>
    <w:rsid w:val="006A0032"/>
    <w:rsid w:val="006A24B9"/>
    <w:rsid w:val="00707DF1"/>
    <w:rsid w:val="00713EF7"/>
    <w:rsid w:val="00740C88"/>
    <w:rsid w:val="007607B8"/>
    <w:rsid w:val="007628C6"/>
    <w:rsid w:val="00773BFB"/>
    <w:rsid w:val="007A67F0"/>
    <w:rsid w:val="007D0666"/>
    <w:rsid w:val="007F5B7A"/>
    <w:rsid w:val="00815534"/>
    <w:rsid w:val="008664E5"/>
    <w:rsid w:val="00877C3E"/>
    <w:rsid w:val="00890054"/>
    <w:rsid w:val="008C3986"/>
    <w:rsid w:val="008F44AD"/>
    <w:rsid w:val="00906706"/>
    <w:rsid w:val="0090769A"/>
    <w:rsid w:val="0091203C"/>
    <w:rsid w:val="0092119F"/>
    <w:rsid w:val="00922461"/>
    <w:rsid w:val="0092531C"/>
    <w:rsid w:val="0092687D"/>
    <w:rsid w:val="00931FC2"/>
    <w:rsid w:val="0093703F"/>
    <w:rsid w:val="00992CD1"/>
    <w:rsid w:val="009C2F2D"/>
    <w:rsid w:val="009F59C4"/>
    <w:rsid w:val="00A10386"/>
    <w:rsid w:val="00A22AE9"/>
    <w:rsid w:val="00A35351"/>
    <w:rsid w:val="00A4017D"/>
    <w:rsid w:val="00A4433A"/>
    <w:rsid w:val="00A73664"/>
    <w:rsid w:val="00A83652"/>
    <w:rsid w:val="00AA778B"/>
    <w:rsid w:val="00AE38DF"/>
    <w:rsid w:val="00B02103"/>
    <w:rsid w:val="00B2241E"/>
    <w:rsid w:val="00B234C9"/>
    <w:rsid w:val="00B2472E"/>
    <w:rsid w:val="00B31C43"/>
    <w:rsid w:val="00B92A68"/>
    <w:rsid w:val="00BC6419"/>
    <w:rsid w:val="00BC7CAA"/>
    <w:rsid w:val="00BD5120"/>
    <w:rsid w:val="00BE2D21"/>
    <w:rsid w:val="00C016B8"/>
    <w:rsid w:val="00C0301A"/>
    <w:rsid w:val="00C7132A"/>
    <w:rsid w:val="00C717AC"/>
    <w:rsid w:val="00C76899"/>
    <w:rsid w:val="00C855C1"/>
    <w:rsid w:val="00D301A8"/>
    <w:rsid w:val="00D74BF7"/>
    <w:rsid w:val="00D77032"/>
    <w:rsid w:val="00D91D81"/>
    <w:rsid w:val="00DA05C4"/>
    <w:rsid w:val="00DB2AB9"/>
    <w:rsid w:val="00DC1637"/>
    <w:rsid w:val="00DC2C5B"/>
    <w:rsid w:val="00DF0517"/>
    <w:rsid w:val="00DF1F1D"/>
    <w:rsid w:val="00E447B4"/>
    <w:rsid w:val="00E50D68"/>
    <w:rsid w:val="00E521A0"/>
    <w:rsid w:val="00E5746E"/>
    <w:rsid w:val="00E80EE0"/>
    <w:rsid w:val="00E827C5"/>
    <w:rsid w:val="00E83911"/>
    <w:rsid w:val="00EA1496"/>
    <w:rsid w:val="00EE4498"/>
    <w:rsid w:val="00F03A71"/>
    <w:rsid w:val="00F15E57"/>
    <w:rsid w:val="00F65999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B0"/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614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Сведения о продажах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5E4A9" w:themeFill="accent3" w:themeFillTint="66"/>
      </w:tcPr>
    </w:tblStylePr>
  </w:style>
  <w:style w:type="paragraph" w:customStyle="1" w:styleId="11">
    <w:name w:val="Стиль1"/>
    <w:basedOn w:val="a"/>
    <w:link w:val="12"/>
    <w:qFormat/>
    <w:rsid w:val="000F0AB4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E7BC29" w:themeColor="accent3"/>
      <w:spacing w:val="4"/>
      <w:sz w:val="20"/>
      <w:szCs w:val="28"/>
    </w:rPr>
  </w:style>
  <w:style w:type="character" w:customStyle="1" w:styleId="12">
    <w:name w:val="Стиль1 (знак)"/>
    <w:basedOn w:val="a0"/>
    <w:link w:val="11"/>
    <w:rsid w:val="000F0AB4"/>
    <w:rPr>
      <w:rFonts w:ascii="Franklin Gothic Demi" w:eastAsiaTheme="majorEastAsia" w:hAnsi="Franklin Gothic Demi" w:cs="Microsoft Sans Serif"/>
      <w:color w:val="E7BC29" w:themeColor="accent3"/>
      <w:spacing w:val="4"/>
      <w:sz w:val="20"/>
      <w:szCs w:val="28"/>
      <w:lang w:eastAsia="ja-JP"/>
    </w:rPr>
  </w:style>
  <w:style w:type="table" w:customStyle="1" w:styleId="a6">
    <w:name w:val="Таблица содержимого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E7BC29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E7BC29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Обычный справа"/>
    <w:basedOn w:val="a"/>
    <w:qFormat/>
    <w:rsid w:val="000F0AB4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a8">
    <w:name w:val="Таблица итоговых значений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e">
    <w:name w:val="Placeholder Text"/>
    <w:basedOn w:val="a0"/>
    <w:uiPriority w:val="99"/>
    <w:semiHidden/>
    <w:rsid w:val="002978ED"/>
    <w:rPr>
      <w:color w:val="808080"/>
    </w:rPr>
  </w:style>
  <w:style w:type="paragraph" w:styleId="af">
    <w:name w:val="Date"/>
    <w:basedOn w:val="a"/>
    <w:next w:val="a"/>
    <w:link w:val="af0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0">
    <w:name w:val="Дата Знак"/>
    <w:basedOn w:val="a0"/>
    <w:link w:val="af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f1">
    <w:name w:val="Block Text"/>
    <w:basedOn w:val="a"/>
    <w:uiPriority w:val="99"/>
    <w:semiHidden/>
    <w:unhideWhenUsed/>
    <w:rsid w:val="00130B49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130B49"/>
    <w:rPr>
      <w:color w:val="6F6702" w:themeColor="background2" w:themeShade="40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B49"/>
    <w:rPr>
      <w:rFonts w:asciiTheme="majorHAnsi" w:eastAsiaTheme="majorEastAsia" w:hAnsiTheme="majorHAnsi" w:cstheme="majorBidi"/>
      <w:color w:val="536142" w:themeColor="accent1" w:themeShade="80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526041" w:themeColor="accent1" w:themeShade="7F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536142" w:themeColor="accent1" w:themeShade="80"/>
      <w:sz w:val="18"/>
      <w:szCs w:val="1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18"/>
      <w:szCs w:val="18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526041" w:themeColor="accent1" w:themeShade="7F"/>
      <w:sz w:val="18"/>
      <w:szCs w:val="18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526041" w:themeColor="accent1" w:themeShade="7F"/>
      <w:sz w:val="18"/>
      <w:szCs w:val="18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18"/>
      <w:szCs w:val="21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536142" w:themeColor="accent1" w:themeShade="80"/>
      <w:sz w:val="16"/>
      <w:szCs w:val="21"/>
      <w:lang w:eastAsia="ja-JP"/>
    </w:rPr>
  </w:style>
  <w:style w:type="character" w:styleId="af3">
    <w:name w:val="Hyperlink"/>
    <w:basedOn w:val="a0"/>
    <w:uiPriority w:val="99"/>
    <w:unhideWhenUsed/>
    <w:rsid w:val="00130B49"/>
    <w:rPr>
      <w:color w:val="344D6C" w:themeColor="accent6" w:themeShade="80"/>
      <w:u w:val="single"/>
    </w:rPr>
  </w:style>
  <w:style w:type="character" w:styleId="af4">
    <w:name w:val="Intense Emphasis"/>
    <w:basedOn w:val="a0"/>
    <w:uiPriority w:val="21"/>
    <w:semiHidden/>
    <w:unhideWhenUsed/>
    <w:qFormat/>
    <w:rsid w:val="00130B49"/>
    <w:rPr>
      <w:i/>
      <w:iCs/>
      <w:color w:val="536142" w:themeColor="accent1" w:themeShade="8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130B49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6">
    <w:name w:val="Выделенная цитата Знак"/>
    <w:basedOn w:val="a0"/>
    <w:link w:val="af5"/>
    <w:uiPriority w:val="30"/>
    <w:semiHidden/>
    <w:rsid w:val="00130B49"/>
    <w:rPr>
      <w:rFonts w:eastAsiaTheme="minorEastAsia"/>
      <w:i/>
      <w:iCs/>
      <w:color w:val="536142" w:themeColor="accent1" w:themeShade="80"/>
      <w:sz w:val="18"/>
      <w:szCs w:val="18"/>
      <w:lang w:eastAsia="ja-JP"/>
    </w:rPr>
  </w:style>
  <w:style w:type="character" w:styleId="af7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536142" w:themeColor="accent1" w:themeShade="80"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9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44D26" w:themeColor="text2"/>
    </w:rPr>
  </w:style>
  <w:style w:type="character" w:styleId="afb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c">
    <w:name w:val="List Paragraph"/>
    <w:basedOn w:val="a"/>
    <w:link w:val="afd"/>
    <w:uiPriority w:val="34"/>
    <w:unhideWhenUsed/>
    <w:qFormat/>
    <w:rsid w:val="0092119F"/>
    <w:pPr>
      <w:ind w:left="720"/>
      <w:contextualSpacing/>
    </w:pPr>
  </w:style>
  <w:style w:type="paragraph" w:styleId="afe">
    <w:name w:val="No Spacing"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9211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f">
    <w:name w:val="Strong"/>
    <w:basedOn w:val="a0"/>
    <w:uiPriority w:val="22"/>
    <w:unhideWhenUsed/>
    <w:qFormat/>
    <w:rsid w:val="0092119F"/>
    <w:rPr>
      <w:b/>
      <w:bCs/>
    </w:rPr>
  </w:style>
  <w:style w:type="paragraph" w:styleId="aff0">
    <w:name w:val="Subtitle"/>
    <w:basedOn w:val="a"/>
    <w:next w:val="a"/>
    <w:link w:val="aff1"/>
    <w:uiPriority w:val="11"/>
    <w:semiHidden/>
    <w:unhideWhenUsed/>
    <w:qFormat/>
    <w:rsid w:val="009211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1">
    <w:name w:val="Подзаголовок Знак"/>
    <w:basedOn w:val="a0"/>
    <w:link w:val="aff0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2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3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4">
    <w:name w:val="Balloon Text"/>
    <w:basedOn w:val="a"/>
    <w:link w:val="aff5"/>
    <w:uiPriority w:val="99"/>
    <w:semiHidden/>
    <w:unhideWhenUsed/>
    <w:rsid w:val="000F0AB4"/>
    <w:pPr>
      <w:spacing w:line="240" w:lineRule="auto"/>
    </w:pPr>
    <w:rPr>
      <w:rFonts w:ascii="Segoe UI" w:hAnsi="Segoe UI" w:cs="Segoe UI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0F0AB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character" w:customStyle="1" w:styleId="afd">
    <w:name w:val="Абзац списка Знак"/>
    <w:basedOn w:val="a0"/>
    <w:link w:val="afc"/>
    <w:uiPriority w:val="34"/>
    <w:rsid w:val="003C27B0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ff6">
    <w:name w:val="Body Text"/>
    <w:basedOn w:val="a"/>
    <w:link w:val="aff7"/>
    <w:rsid w:val="003C27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3C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unhideWhenUsed/>
    <w:rsid w:val="007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6198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661981"/>
    <w:rPr>
      <w:rFonts w:ascii="Calibri" w:eastAsia="Calibri" w:hAnsi="Calibri" w:cs="Times New Roman"/>
    </w:rPr>
  </w:style>
  <w:style w:type="paragraph" w:customStyle="1" w:styleId="ConsPlusTitle">
    <w:name w:val="ConsPlusTitle"/>
    <w:rsid w:val="00E52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5;&#1080;&#1089;&#1083;&#1072;&#1074;\Downloads\tf10284922_win32.dotx" TargetMode="Externa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032C8-AAB3-4AAD-9DDE-B235021D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tf10284922_win32.dotx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2022-04-18T10:51:00Z</dcterms:created>
  <dcterms:modified xsi:type="dcterms:W3CDTF">2022-04-24T23:47:00Z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